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DDDDD" w:themeColor="accent1"/>
  <w:body>
    <w:p w:rsidR="00663A36" w:rsidRDefault="00D63572">
      <w:r>
        <w:rPr>
          <w:noProof/>
        </w:rPr>
        <w:drawing>
          <wp:inline distT="0" distB="0" distL="0" distR="0">
            <wp:extent cx="6011694" cy="3988138"/>
            <wp:effectExtent l="25400" t="12700" r="33655"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35FFA" w:rsidRPr="00135FFA" w:rsidRDefault="00135FFA" w:rsidP="00135FFA">
      <w:pPr>
        <w:rPr>
          <w:sz w:val="20"/>
          <w:szCs w:val="20"/>
        </w:rPr>
      </w:pPr>
      <w:r w:rsidRPr="00135FFA">
        <w:rPr>
          <w:sz w:val="20"/>
          <w:szCs w:val="20"/>
        </w:rPr>
        <w:t xml:space="preserve">Table 1. CPED Framework: members of CPED developed a Framework for </w:t>
      </w:r>
      <w:proofErr w:type="spellStart"/>
      <w:r w:rsidRPr="00135FFA">
        <w:rPr>
          <w:sz w:val="20"/>
          <w:szCs w:val="20"/>
        </w:rPr>
        <w:t>EdD</w:t>
      </w:r>
      <w:proofErr w:type="spellEnd"/>
      <w:r w:rsidRPr="00135FFA">
        <w:rPr>
          <w:sz w:val="20"/>
          <w:szCs w:val="20"/>
        </w:rPr>
        <w:t xml:space="preserve"> program design/redesign that supports creating quality, rigorous practitioner preparation while honoring the local context of each member institution. </w:t>
      </w:r>
      <w:bookmarkStart w:id="0" w:name="_GoBack"/>
      <w:bookmarkEnd w:id="0"/>
    </w:p>
    <w:p w:rsidR="00135FFA" w:rsidRDefault="00135FFA"/>
    <w:sectPr w:rsidR="00135FFA" w:rsidSect="003D448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4B5" w:rsidRDefault="003A34B5" w:rsidP="00D63572">
      <w:r>
        <w:separator/>
      </w:r>
    </w:p>
  </w:endnote>
  <w:endnote w:type="continuationSeparator" w:id="0">
    <w:p w:rsidR="003A34B5" w:rsidRDefault="003A34B5" w:rsidP="00D6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572" w:rsidRDefault="00D63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572" w:rsidRDefault="00D63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572" w:rsidRDefault="00D63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4B5" w:rsidRDefault="003A34B5" w:rsidP="00D63572">
      <w:r>
        <w:separator/>
      </w:r>
    </w:p>
  </w:footnote>
  <w:footnote w:type="continuationSeparator" w:id="0">
    <w:p w:rsidR="003A34B5" w:rsidRDefault="003A34B5" w:rsidP="00D6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572" w:rsidRDefault="00D63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572" w:rsidRDefault="00D63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572" w:rsidRDefault="00D63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72"/>
    <w:rsid w:val="00135FFA"/>
    <w:rsid w:val="003A34B5"/>
    <w:rsid w:val="003D4486"/>
    <w:rsid w:val="00C76D30"/>
    <w:rsid w:val="00D6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FC447"/>
  <w14:defaultImageDpi w14:val="32767"/>
  <w15:chartTrackingRefBased/>
  <w15:docId w15:val="{4AEB1425-D45A-FC41-AE05-F86ECD05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572"/>
    <w:pPr>
      <w:tabs>
        <w:tab w:val="center" w:pos="4680"/>
        <w:tab w:val="right" w:pos="9360"/>
      </w:tabs>
    </w:pPr>
  </w:style>
  <w:style w:type="character" w:customStyle="1" w:styleId="HeaderChar">
    <w:name w:val="Header Char"/>
    <w:basedOn w:val="DefaultParagraphFont"/>
    <w:link w:val="Header"/>
    <w:uiPriority w:val="99"/>
    <w:rsid w:val="00D63572"/>
  </w:style>
  <w:style w:type="paragraph" w:styleId="Footer">
    <w:name w:val="footer"/>
    <w:basedOn w:val="Normal"/>
    <w:link w:val="FooterChar"/>
    <w:uiPriority w:val="99"/>
    <w:unhideWhenUsed/>
    <w:rsid w:val="00D63572"/>
    <w:pPr>
      <w:tabs>
        <w:tab w:val="center" w:pos="4680"/>
        <w:tab w:val="right" w:pos="9360"/>
      </w:tabs>
    </w:pPr>
  </w:style>
  <w:style w:type="character" w:customStyle="1" w:styleId="FooterChar">
    <w:name w:val="Footer Char"/>
    <w:basedOn w:val="DefaultParagraphFont"/>
    <w:link w:val="Footer"/>
    <w:uiPriority w:val="99"/>
    <w:rsid w:val="00D6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C2C90D-BC69-AE47-AE26-46C4254CDDC0}" type="doc">
      <dgm:prSet loTypeId="urn:microsoft.com/office/officeart/2005/8/layout/hierarchy4" loCatId="relationship" qsTypeId="urn:microsoft.com/office/officeart/2005/8/quickstyle/simple1" qsCatId="simple" csTypeId="urn:microsoft.com/office/officeart/2005/8/colors/accent0_1" csCatId="mainScheme" phldr="1"/>
      <dgm:spPr/>
      <dgm:t>
        <a:bodyPr/>
        <a:lstStyle/>
        <a:p>
          <a:endParaRPr lang="en-US"/>
        </a:p>
      </dgm:t>
    </dgm:pt>
    <dgm:pt modelId="{0A5B2C12-1F4B-7D4A-9943-EDE4CF647B67}">
      <dgm:prSet phldrT="[Text]" custT="1"/>
      <dgm:spPr/>
      <dgm:t>
        <a:bodyPr/>
        <a:lstStyle/>
        <a:p>
          <a:r>
            <a:rPr lang="en-US" sz="1200" b="1" u="sng"/>
            <a:t>EdD Definition</a:t>
          </a:r>
        </a:p>
        <a:p>
          <a:r>
            <a:rPr lang="en-US" sz="1200" b="0" i="0"/>
            <a:t>“The professional doctorate in education prepares educators for the application of appropriate and specific practices, the generation of new knowledge, and for the stewardship of the profession.”</a:t>
          </a:r>
          <a:endParaRPr lang="en-US" sz="1200"/>
        </a:p>
      </dgm:t>
    </dgm:pt>
    <dgm:pt modelId="{5DA8619C-9E1C-8D47-9AD2-C5DE2A1029A0}" type="parTrans" cxnId="{D639B5BA-7433-D24D-94F4-33FDFC9EC59B}">
      <dgm:prSet/>
      <dgm:spPr/>
      <dgm:t>
        <a:bodyPr/>
        <a:lstStyle/>
        <a:p>
          <a:endParaRPr lang="en-US"/>
        </a:p>
      </dgm:t>
    </dgm:pt>
    <dgm:pt modelId="{114E717F-7F3A-B244-AF53-898800DC3418}" type="sibTrans" cxnId="{D639B5BA-7433-D24D-94F4-33FDFC9EC59B}">
      <dgm:prSet/>
      <dgm:spPr/>
      <dgm:t>
        <a:bodyPr/>
        <a:lstStyle/>
        <a:p>
          <a:endParaRPr lang="en-US"/>
        </a:p>
      </dgm:t>
    </dgm:pt>
    <dgm:pt modelId="{D07F0608-DD2E-594F-B8D0-6BC3A401E27F}">
      <dgm:prSet phldrT="[Text]"/>
      <dgm:spPr/>
      <dgm:t>
        <a:bodyPr/>
        <a:lstStyle/>
        <a:p>
          <a:r>
            <a:rPr lang="en-US" b="1" i="1"/>
            <a:t>Scholarly Practitioner: </a:t>
          </a:r>
          <a:r>
            <a:rPr lang="en-US"/>
            <a:t>Scholarly Practitioners blend practical wisdom with professional skills and knowledge to name, frame, and solve problems of practice. They use practical research and applied theories as tools for change because they understand the importance of equity and social justice. They disseminate their work in multiple ways, and they have an obligation to resolve problems of practice by collaborating with key stakeholders, including the university, the educational institution, the community, and individuals. </a:t>
          </a:r>
        </a:p>
        <a:p>
          <a:r>
            <a:rPr lang="en-US" b="1" i="1"/>
            <a:t>Signature Pedagogy:</a:t>
          </a:r>
          <a:r>
            <a:rPr lang="en-US"/>
            <a:t> Signature Pedagogy is the pervasive set of practices used to prepare scholarly practitioners for all aspects of their professional work: “to think, to perform, and to act with integrity” (Shulman, 2005, p.52). Signature pedagogy includes three dimensions, as articulated by Lee Shulman (2005):</a:t>
          </a:r>
        </a:p>
        <a:p>
          <a:r>
            <a:rPr lang="en-US"/>
            <a:t>Teaching is deliberate, pervasive and persistent. It challenges assumptions, engages in action, and requires ongoing assessment and accountability.</a:t>
          </a:r>
        </a:p>
        <a:p>
          <a:r>
            <a:rPr lang="en-US"/>
            <a:t>Teaching and learning are grounded in theory, research, and in problems of practice. It leads to habits of mind, hand, and heart that can and will be applied to authentic professional settings.</a:t>
          </a:r>
        </a:p>
        <a:p>
          <a:r>
            <a:rPr lang="en-US"/>
            <a:t>Teaching helps students develop a critical and professional stance with a moral and ethical imperative for equity and social justice. </a:t>
          </a:r>
        </a:p>
        <a:p>
          <a:r>
            <a:rPr lang="en-US" b="1" i="1"/>
            <a:t>Inquiry as Practice: </a:t>
          </a:r>
          <a:r>
            <a:rPr lang="en-US"/>
            <a:t>Inquiry as Practice is the process of posing significant questions that focus on complex problems of practice. By using various research, theories, and professional wisdom, scholarly practitioners design innovative solutions to address the problems of practice. At the center of Inquiry of Practice is the ability to use data to understand the effects of innovation. As such, Inquiry of Practice requires the ability to gather, organize, judge, aggregate, and analyze situations, literature, and data with a critical lens.</a:t>
          </a:r>
        </a:p>
        <a:p>
          <a:r>
            <a:rPr lang="en-US" b="1" i="1"/>
            <a:t>Laboratories of Practice:</a:t>
          </a:r>
          <a:r>
            <a:rPr lang="en-US"/>
            <a:t> Laboratories of Practice are settings where theory and practice inform and enrich each other. They address complex problems of practice where ideas—formed by the intersection of theory, inquiry, and practice—can be implemented, measured, and analyzed for the impact made.  Laboratories of Practice facilitate transformative and generative learning that is measured by the development of scholarly expertise and implementation of practice.</a:t>
          </a:r>
        </a:p>
        <a:p>
          <a:r>
            <a:rPr lang="en-US" b="1" i="1"/>
            <a:t>Dissertation in Practice:</a:t>
          </a:r>
          <a:r>
            <a:rPr lang="en-US"/>
            <a:t> The Dissertation in Practice is a scholarly endeavor that impacts a complex problem of practice.</a:t>
          </a:r>
        </a:p>
        <a:p>
          <a:r>
            <a:rPr lang="en-US" b="1" i="1"/>
            <a:t>Problem of Practice: </a:t>
          </a:r>
          <a:r>
            <a:rPr lang="en-US"/>
            <a:t>A Problem of Practice is as a persistent, contextualized, and specific issue embedded in the work of a professional practitioner, the addressing of which has the potential to result in improved understanding, experience, and outcomes.</a:t>
          </a:r>
        </a:p>
      </dgm:t>
    </dgm:pt>
    <dgm:pt modelId="{9BF138EB-B6B6-5145-A200-0D9538CCE167}" type="parTrans" cxnId="{A4386E1F-0507-AC4F-983E-5FA51423A0ED}">
      <dgm:prSet/>
      <dgm:spPr/>
      <dgm:t>
        <a:bodyPr/>
        <a:lstStyle/>
        <a:p>
          <a:endParaRPr lang="en-US"/>
        </a:p>
      </dgm:t>
    </dgm:pt>
    <dgm:pt modelId="{EF7E6265-1373-D64D-B414-1C5E2515784A}" type="sibTrans" cxnId="{A4386E1F-0507-AC4F-983E-5FA51423A0ED}">
      <dgm:prSet/>
      <dgm:spPr/>
      <dgm:t>
        <a:bodyPr/>
        <a:lstStyle/>
        <a:p>
          <a:endParaRPr lang="en-US"/>
        </a:p>
      </dgm:t>
    </dgm:pt>
    <dgm:pt modelId="{EF18AD57-DBF2-8C46-93DD-48D1E2351AC6}">
      <dgm:prSet phldrT="[Text]" custT="1"/>
      <dgm:spPr/>
      <dgm:t>
        <a:bodyPr/>
        <a:lstStyle/>
        <a:p>
          <a:r>
            <a:rPr lang="en-US" sz="900" b="1" u="sng"/>
            <a:t>Guiding Principles</a:t>
          </a:r>
        </a:p>
        <a:p>
          <a:r>
            <a:rPr lang="en-US" sz="900" b="1"/>
            <a:t>The Professional Doctorate in Education is: </a:t>
          </a:r>
        </a:p>
      </dgm:t>
    </dgm:pt>
    <dgm:pt modelId="{24E516B8-218F-C047-BC68-B031F0C05CCB}" type="parTrans" cxnId="{60C2E5FF-99DE-7C4C-8D27-3908805D2151}">
      <dgm:prSet/>
      <dgm:spPr/>
      <dgm:t>
        <a:bodyPr/>
        <a:lstStyle/>
        <a:p>
          <a:endParaRPr lang="en-US"/>
        </a:p>
      </dgm:t>
    </dgm:pt>
    <dgm:pt modelId="{A11A4510-4CBB-6342-8A95-E8E2270E0C6A}" type="sibTrans" cxnId="{60C2E5FF-99DE-7C4C-8D27-3908805D2151}">
      <dgm:prSet/>
      <dgm:spPr/>
      <dgm:t>
        <a:bodyPr/>
        <a:lstStyle/>
        <a:p>
          <a:endParaRPr lang="en-US"/>
        </a:p>
      </dgm:t>
    </dgm:pt>
    <dgm:pt modelId="{F54BBAFD-956C-0346-BB7C-DC6A2DD7C336}">
      <dgm:prSet phldrT="[Text]" custT="1"/>
      <dgm:spPr/>
      <dgm:t>
        <a:bodyPr/>
        <a:lstStyle/>
        <a:p>
          <a:r>
            <a:rPr lang="en-US" sz="1000" b="1" u="sng"/>
            <a:t>Program Design Concepts</a:t>
          </a:r>
        </a:p>
      </dgm:t>
    </dgm:pt>
    <dgm:pt modelId="{E1E3365E-B62C-A84F-9D6B-52FA1CBCADDD}" type="parTrans" cxnId="{0108500E-4D17-664D-BBBA-809F5AF53BD0}">
      <dgm:prSet/>
      <dgm:spPr/>
      <dgm:t>
        <a:bodyPr/>
        <a:lstStyle/>
        <a:p>
          <a:endParaRPr lang="en-US"/>
        </a:p>
      </dgm:t>
    </dgm:pt>
    <dgm:pt modelId="{BF426CAA-0177-D04E-B947-3AC9A8C4E03E}" type="sibTrans" cxnId="{0108500E-4D17-664D-BBBA-809F5AF53BD0}">
      <dgm:prSet/>
      <dgm:spPr/>
      <dgm:t>
        <a:bodyPr/>
        <a:lstStyle/>
        <a:p>
          <a:endParaRPr lang="en-US"/>
        </a:p>
      </dgm:t>
    </dgm:pt>
    <dgm:pt modelId="{E62215E2-CB99-434B-A993-D262A657FA93}">
      <dgm:prSet/>
      <dgm:spPr/>
      <dgm:t>
        <a:bodyPr/>
        <a:lstStyle/>
        <a:p>
          <a:pPr>
            <a:buFont typeface="+mj-lt"/>
            <a:buAutoNum type="arabicPeriod"/>
          </a:pPr>
          <a:r>
            <a:rPr lang="en-US"/>
            <a:t>Is framed around questions of equity, ethics, and social justice to bring about solutions to complex problems of practice.</a:t>
          </a:r>
        </a:p>
      </dgm:t>
    </dgm:pt>
    <dgm:pt modelId="{2D35DB48-854A-FE48-B8BA-63DCEB1CE0B9}" type="parTrans" cxnId="{64B612A0-E1C6-FF4E-9A75-379D604F79E6}">
      <dgm:prSet/>
      <dgm:spPr/>
      <dgm:t>
        <a:bodyPr/>
        <a:lstStyle/>
        <a:p>
          <a:endParaRPr lang="en-US"/>
        </a:p>
      </dgm:t>
    </dgm:pt>
    <dgm:pt modelId="{C127B2B3-DF77-3F44-A7F9-365D8695DA18}" type="sibTrans" cxnId="{64B612A0-E1C6-FF4E-9A75-379D604F79E6}">
      <dgm:prSet/>
      <dgm:spPr/>
      <dgm:t>
        <a:bodyPr/>
        <a:lstStyle/>
        <a:p>
          <a:endParaRPr lang="en-US"/>
        </a:p>
      </dgm:t>
    </dgm:pt>
    <dgm:pt modelId="{27B3EA57-E20C-7541-A41B-8C2EB222188D}">
      <dgm:prSet/>
      <dgm:spPr/>
      <dgm:t>
        <a:bodyPr/>
        <a:lstStyle/>
        <a:p>
          <a:pPr>
            <a:buFont typeface="+mj-lt"/>
            <a:buAutoNum type="arabicPeriod"/>
          </a:pPr>
          <a:r>
            <a:rPr lang="en-US"/>
            <a:t>Prepares leaders who can construct and apply knowledge to make a positive difference in the lives of individuals, families, organizations, and communities.</a:t>
          </a:r>
        </a:p>
      </dgm:t>
    </dgm:pt>
    <dgm:pt modelId="{7105B801-CEA0-DF4B-BB02-250715C2D774}" type="parTrans" cxnId="{1FFE73AC-F6D1-F148-A99F-6520D505522C}">
      <dgm:prSet/>
      <dgm:spPr/>
      <dgm:t>
        <a:bodyPr/>
        <a:lstStyle/>
        <a:p>
          <a:endParaRPr lang="en-US"/>
        </a:p>
      </dgm:t>
    </dgm:pt>
    <dgm:pt modelId="{F0FDA9A8-39BF-EA42-A4D2-D4FF770E1153}" type="sibTrans" cxnId="{1FFE73AC-F6D1-F148-A99F-6520D505522C}">
      <dgm:prSet/>
      <dgm:spPr/>
      <dgm:t>
        <a:bodyPr/>
        <a:lstStyle/>
        <a:p>
          <a:endParaRPr lang="en-US"/>
        </a:p>
      </dgm:t>
    </dgm:pt>
    <dgm:pt modelId="{452CFC8C-EEA4-3C4B-9AFD-B9708E92E8CE}">
      <dgm:prSet/>
      <dgm:spPr/>
      <dgm:t>
        <a:bodyPr/>
        <a:lstStyle/>
        <a:p>
          <a:pPr>
            <a:buFont typeface="+mj-lt"/>
            <a:buAutoNum type="arabicPeriod"/>
          </a:pPr>
          <a:r>
            <a:rPr lang="en-US"/>
            <a:t>Provides opportunities for candidates to develop and demonstrate collaboration and communication skills to work with diverse communities and to build partnerships.</a:t>
          </a:r>
        </a:p>
      </dgm:t>
    </dgm:pt>
    <dgm:pt modelId="{78A2A5ED-2A9F-5349-94D6-55F130DCE68A}" type="parTrans" cxnId="{18398DF2-EB62-A040-95F0-5050D944EB28}">
      <dgm:prSet/>
      <dgm:spPr/>
      <dgm:t>
        <a:bodyPr/>
        <a:lstStyle/>
        <a:p>
          <a:endParaRPr lang="en-US"/>
        </a:p>
      </dgm:t>
    </dgm:pt>
    <dgm:pt modelId="{DCD96EDE-A2F1-3344-92EB-4F0A929E40EA}" type="sibTrans" cxnId="{18398DF2-EB62-A040-95F0-5050D944EB28}">
      <dgm:prSet/>
      <dgm:spPr/>
      <dgm:t>
        <a:bodyPr/>
        <a:lstStyle/>
        <a:p>
          <a:endParaRPr lang="en-US"/>
        </a:p>
      </dgm:t>
    </dgm:pt>
    <dgm:pt modelId="{11B53547-18E4-444C-A4B4-476F504431C7}">
      <dgm:prSet/>
      <dgm:spPr/>
      <dgm:t>
        <a:bodyPr/>
        <a:lstStyle/>
        <a:p>
          <a:pPr>
            <a:buFont typeface="+mj-lt"/>
            <a:buAutoNum type="arabicPeriod"/>
          </a:pPr>
          <a:r>
            <a:rPr lang="en-US"/>
            <a:t>Provides field-based opportunities to analyze problems of practice and use multiple frames to develop meaningful solutions.</a:t>
          </a:r>
        </a:p>
      </dgm:t>
    </dgm:pt>
    <dgm:pt modelId="{3DFB064D-E392-A84C-B4C3-4D9B8C6C4F0F}" type="parTrans" cxnId="{FC8391F6-30B9-4443-9FB0-750E25453B97}">
      <dgm:prSet/>
      <dgm:spPr/>
      <dgm:t>
        <a:bodyPr/>
        <a:lstStyle/>
        <a:p>
          <a:endParaRPr lang="en-US"/>
        </a:p>
      </dgm:t>
    </dgm:pt>
    <dgm:pt modelId="{6629805D-370C-7342-B277-29B14E9E3C94}" type="sibTrans" cxnId="{FC8391F6-30B9-4443-9FB0-750E25453B97}">
      <dgm:prSet/>
      <dgm:spPr/>
      <dgm:t>
        <a:bodyPr/>
        <a:lstStyle/>
        <a:p>
          <a:endParaRPr lang="en-US"/>
        </a:p>
      </dgm:t>
    </dgm:pt>
    <dgm:pt modelId="{8E055676-9F96-D346-B4E5-D676D3348F11}">
      <dgm:prSet/>
      <dgm:spPr/>
      <dgm:t>
        <a:bodyPr/>
        <a:lstStyle/>
        <a:p>
          <a:pPr>
            <a:buFont typeface="+mj-lt"/>
            <a:buAutoNum type="arabicPeriod"/>
          </a:pPr>
          <a:r>
            <a:rPr lang="en-US"/>
            <a:t>Is grounded in and develops a professional knowledge base that integrates both practical and research knowledge, that links theory with systemic and systematic inquiry.</a:t>
          </a:r>
        </a:p>
      </dgm:t>
    </dgm:pt>
    <dgm:pt modelId="{043BE592-21B7-D840-ABDB-D12D69149CE3}" type="parTrans" cxnId="{24ED0AC2-AFFF-1B43-A56C-C773B4F80133}">
      <dgm:prSet/>
      <dgm:spPr/>
      <dgm:t>
        <a:bodyPr/>
        <a:lstStyle/>
        <a:p>
          <a:endParaRPr lang="en-US"/>
        </a:p>
      </dgm:t>
    </dgm:pt>
    <dgm:pt modelId="{6E16E5CE-0388-7942-BF49-8EB077225013}" type="sibTrans" cxnId="{24ED0AC2-AFFF-1B43-A56C-C773B4F80133}">
      <dgm:prSet/>
      <dgm:spPr/>
      <dgm:t>
        <a:bodyPr/>
        <a:lstStyle/>
        <a:p>
          <a:endParaRPr lang="en-US"/>
        </a:p>
      </dgm:t>
    </dgm:pt>
    <dgm:pt modelId="{A4FD5B90-571C-814C-915F-79052A55F379}">
      <dgm:prSet/>
      <dgm:spPr/>
      <dgm:t>
        <a:bodyPr/>
        <a:lstStyle/>
        <a:p>
          <a:pPr>
            <a:buFont typeface="+mj-lt"/>
            <a:buAutoNum type="arabicPeriod"/>
          </a:pPr>
          <a:r>
            <a:rPr lang="en-US"/>
            <a:t>Emphasizes the generation, transformation, and use of professional knowledge and practice.</a:t>
          </a:r>
        </a:p>
      </dgm:t>
    </dgm:pt>
    <dgm:pt modelId="{7CA42555-E761-0144-B8A1-71BF6B276397}" type="parTrans" cxnId="{4085C0A3-1B72-FD41-9C72-58422BEC6383}">
      <dgm:prSet/>
      <dgm:spPr/>
      <dgm:t>
        <a:bodyPr/>
        <a:lstStyle/>
        <a:p>
          <a:endParaRPr lang="en-US"/>
        </a:p>
      </dgm:t>
    </dgm:pt>
    <dgm:pt modelId="{C83C9C28-F855-2B41-B139-7530FB3282C8}" type="sibTrans" cxnId="{4085C0A3-1B72-FD41-9C72-58422BEC6383}">
      <dgm:prSet/>
      <dgm:spPr/>
      <dgm:t>
        <a:bodyPr/>
        <a:lstStyle/>
        <a:p>
          <a:endParaRPr lang="en-US"/>
        </a:p>
      </dgm:t>
    </dgm:pt>
    <dgm:pt modelId="{8E292E4B-7913-E244-BA17-18CD284A95E7}" type="pres">
      <dgm:prSet presAssocID="{16C2C90D-BC69-AE47-AE26-46C4254CDDC0}" presName="Name0" presStyleCnt="0">
        <dgm:presLayoutVars>
          <dgm:chPref val="1"/>
          <dgm:dir/>
          <dgm:animOne val="branch"/>
          <dgm:animLvl val="lvl"/>
          <dgm:resizeHandles/>
        </dgm:presLayoutVars>
      </dgm:prSet>
      <dgm:spPr/>
    </dgm:pt>
    <dgm:pt modelId="{3013D5AE-CD8D-C04C-81A2-AA57C77E2172}" type="pres">
      <dgm:prSet presAssocID="{0A5B2C12-1F4B-7D4A-9943-EDE4CF647B67}" presName="vertOne" presStyleCnt="0"/>
      <dgm:spPr/>
    </dgm:pt>
    <dgm:pt modelId="{D178A8BA-F1C8-C94A-AF45-1D6904CF3259}" type="pres">
      <dgm:prSet presAssocID="{0A5B2C12-1F4B-7D4A-9943-EDE4CF647B67}" presName="txOne" presStyleLbl="node0" presStyleIdx="0" presStyleCnt="1" custScaleY="63804">
        <dgm:presLayoutVars>
          <dgm:chPref val="3"/>
        </dgm:presLayoutVars>
      </dgm:prSet>
      <dgm:spPr/>
    </dgm:pt>
    <dgm:pt modelId="{F6AD00A8-792D-0E4B-BAFE-01F72FA76CDC}" type="pres">
      <dgm:prSet presAssocID="{0A5B2C12-1F4B-7D4A-9943-EDE4CF647B67}" presName="parTransOne" presStyleCnt="0"/>
      <dgm:spPr/>
    </dgm:pt>
    <dgm:pt modelId="{16041908-5EA0-0648-BE65-68E84B0C37CF}" type="pres">
      <dgm:prSet presAssocID="{0A5B2C12-1F4B-7D4A-9943-EDE4CF647B67}" presName="horzOne" presStyleCnt="0"/>
      <dgm:spPr/>
    </dgm:pt>
    <dgm:pt modelId="{318A3851-C3A0-054C-AF8D-FD606DB504B4}" type="pres">
      <dgm:prSet presAssocID="{D07F0608-DD2E-594F-B8D0-6BC3A401E27F}" presName="vertTwo" presStyleCnt="0"/>
      <dgm:spPr/>
    </dgm:pt>
    <dgm:pt modelId="{860A51C1-23C6-E04D-8A8C-8B4B5F166EB1}" type="pres">
      <dgm:prSet presAssocID="{D07F0608-DD2E-594F-B8D0-6BC3A401E27F}" presName="txTwo" presStyleLbl="node2" presStyleIdx="0" presStyleCnt="2" custScaleY="120013">
        <dgm:presLayoutVars>
          <dgm:chPref val="3"/>
        </dgm:presLayoutVars>
      </dgm:prSet>
      <dgm:spPr/>
    </dgm:pt>
    <dgm:pt modelId="{AB7DA088-07AE-C74D-9E07-8032B9C6C0F7}" type="pres">
      <dgm:prSet presAssocID="{D07F0608-DD2E-594F-B8D0-6BC3A401E27F}" presName="parTransTwo" presStyleCnt="0"/>
      <dgm:spPr/>
    </dgm:pt>
    <dgm:pt modelId="{EB305C59-6464-234D-8A42-AB4099AC8D32}" type="pres">
      <dgm:prSet presAssocID="{D07F0608-DD2E-594F-B8D0-6BC3A401E27F}" presName="horzTwo" presStyleCnt="0"/>
      <dgm:spPr/>
    </dgm:pt>
    <dgm:pt modelId="{616AC515-E09E-3646-9CD9-1B387B67A3D2}" type="pres">
      <dgm:prSet presAssocID="{EF18AD57-DBF2-8C46-93DD-48D1E2351AC6}" presName="vertThree" presStyleCnt="0"/>
      <dgm:spPr/>
    </dgm:pt>
    <dgm:pt modelId="{225FEFE2-DB0E-4345-AAE4-21F0975E8B36}" type="pres">
      <dgm:prSet presAssocID="{EF18AD57-DBF2-8C46-93DD-48D1E2351AC6}" presName="txThree" presStyleLbl="node3" presStyleIdx="0" presStyleCnt="7" custScaleX="238308">
        <dgm:presLayoutVars>
          <dgm:chPref val="3"/>
        </dgm:presLayoutVars>
      </dgm:prSet>
      <dgm:spPr/>
    </dgm:pt>
    <dgm:pt modelId="{73EC3E38-F643-C141-9BAB-E9E1F37BE48C}" type="pres">
      <dgm:prSet presAssocID="{EF18AD57-DBF2-8C46-93DD-48D1E2351AC6}" presName="horzThree" presStyleCnt="0"/>
      <dgm:spPr/>
    </dgm:pt>
    <dgm:pt modelId="{4255F19B-2D0B-6449-AB34-CC0EB841C5C4}" type="pres">
      <dgm:prSet presAssocID="{A11A4510-4CBB-6342-8A95-E8E2270E0C6A}" presName="sibSpaceThree" presStyleCnt="0"/>
      <dgm:spPr/>
    </dgm:pt>
    <dgm:pt modelId="{440B2798-1A22-9940-8C17-A84742285E9E}" type="pres">
      <dgm:prSet presAssocID="{E62215E2-CB99-434B-A993-D262A657FA93}" presName="vertThree" presStyleCnt="0"/>
      <dgm:spPr/>
    </dgm:pt>
    <dgm:pt modelId="{D9A299CD-CEB8-B64D-BA90-7366D327ADDE}" type="pres">
      <dgm:prSet presAssocID="{E62215E2-CB99-434B-A993-D262A657FA93}" presName="txThree" presStyleLbl="node3" presStyleIdx="1" presStyleCnt="7" custScaleX="134423" custLinFactNeighborX="53248">
        <dgm:presLayoutVars>
          <dgm:chPref val="3"/>
        </dgm:presLayoutVars>
      </dgm:prSet>
      <dgm:spPr/>
    </dgm:pt>
    <dgm:pt modelId="{2A096D54-639C-1943-8F31-501C5FCCC83B}" type="pres">
      <dgm:prSet presAssocID="{E62215E2-CB99-434B-A993-D262A657FA93}" presName="horzThree" presStyleCnt="0"/>
      <dgm:spPr/>
    </dgm:pt>
    <dgm:pt modelId="{DB3B7499-C447-9A46-A33D-8CE3C9B202DE}" type="pres">
      <dgm:prSet presAssocID="{C127B2B3-DF77-3F44-A7F9-365D8695DA18}" presName="sibSpaceThree" presStyleCnt="0"/>
      <dgm:spPr/>
    </dgm:pt>
    <dgm:pt modelId="{49D853A2-3CEE-4040-8E70-5087A78B304A}" type="pres">
      <dgm:prSet presAssocID="{27B3EA57-E20C-7541-A41B-8C2EB222188D}" presName="vertThree" presStyleCnt="0"/>
      <dgm:spPr/>
    </dgm:pt>
    <dgm:pt modelId="{5C8AC830-0E4D-F74B-A668-1E27AA6AD32C}" type="pres">
      <dgm:prSet presAssocID="{27B3EA57-E20C-7541-A41B-8C2EB222188D}" presName="txThree" presStyleLbl="node3" presStyleIdx="2" presStyleCnt="7" custScaleX="121481" custLinFactNeighborX="57685">
        <dgm:presLayoutVars>
          <dgm:chPref val="3"/>
        </dgm:presLayoutVars>
      </dgm:prSet>
      <dgm:spPr/>
    </dgm:pt>
    <dgm:pt modelId="{92DA5C5F-970E-794E-A6B8-054180AEC58D}" type="pres">
      <dgm:prSet presAssocID="{27B3EA57-E20C-7541-A41B-8C2EB222188D}" presName="horzThree" presStyleCnt="0"/>
      <dgm:spPr/>
    </dgm:pt>
    <dgm:pt modelId="{9D4FD2CF-BAD2-BD48-811F-9FCD980F63FF}" type="pres">
      <dgm:prSet presAssocID="{F0FDA9A8-39BF-EA42-A4D2-D4FF770E1153}" presName="sibSpaceThree" presStyleCnt="0"/>
      <dgm:spPr/>
    </dgm:pt>
    <dgm:pt modelId="{3218A39A-E4EC-A34D-8D59-678417BF1A4F}" type="pres">
      <dgm:prSet presAssocID="{452CFC8C-EEA4-3C4B-9AFD-B9708E92E8CE}" presName="vertThree" presStyleCnt="0"/>
      <dgm:spPr/>
    </dgm:pt>
    <dgm:pt modelId="{1624D115-9820-0045-8D1D-3E824B341C3C}" type="pres">
      <dgm:prSet presAssocID="{452CFC8C-EEA4-3C4B-9AFD-B9708E92E8CE}" presName="txThree" presStyleLbl="node3" presStyleIdx="3" presStyleCnt="7" custScaleX="129020" custLinFactNeighborX="63602" custLinFactNeighborY="971">
        <dgm:presLayoutVars>
          <dgm:chPref val="3"/>
        </dgm:presLayoutVars>
      </dgm:prSet>
      <dgm:spPr/>
    </dgm:pt>
    <dgm:pt modelId="{B6316B04-A344-DC44-9B07-1F0C6BC4CA98}" type="pres">
      <dgm:prSet presAssocID="{452CFC8C-EEA4-3C4B-9AFD-B9708E92E8CE}" presName="horzThree" presStyleCnt="0"/>
      <dgm:spPr/>
    </dgm:pt>
    <dgm:pt modelId="{4C911FCA-42E0-454C-AFCB-87EDCE1B25BE}" type="pres">
      <dgm:prSet presAssocID="{DCD96EDE-A2F1-3344-92EB-4F0A929E40EA}" presName="sibSpaceThree" presStyleCnt="0"/>
      <dgm:spPr/>
    </dgm:pt>
    <dgm:pt modelId="{C661FF4F-89ED-814E-A7CF-456A14306EBA}" type="pres">
      <dgm:prSet presAssocID="{11B53547-18E4-444C-A4B4-476F504431C7}" presName="vertThree" presStyleCnt="0"/>
      <dgm:spPr/>
    </dgm:pt>
    <dgm:pt modelId="{368159B7-73CB-704A-AF85-D93949AA3C51}" type="pres">
      <dgm:prSet presAssocID="{11B53547-18E4-444C-A4B4-476F504431C7}" presName="txThree" presStyleLbl="node3" presStyleIdx="4" presStyleCnt="7" custScaleX="125055" custLinFactNeighborX="68039" custLinFactNeighborY="971">
        <dgm:presLayoutVars>
          <dgm:chPref val="3"/>
        </dgm:presLayoutVars>
      </dgm:prSet>
      <dgm:spPr/>
    </dgm:pt>
    <dgm:pt modelId="{EE9D9F5E-A726-A04B-A763-642B71663FE9}" type="pres">
      <dgm:prSet presAssocID="{11B53547-18E4-444C-A4B4-476F504431C7}" presName="horzThree" presStyleCnt="0"/>
      <dgm:spPr/>
    </dgm:pt>
    <dgm:pt modelId="{A895E93E-FBA0-2A44-B185-F3546C90D147}" type="pres">
      <dgm:prSet presAssocID="{6629805D-370C-7342-B277-29B14E9E3C94}" presName="sibSpaceThree" presStyleCnt="0"/>
      <dgm:spPr/>
    </dgm:pt>
    <dgm:pt modelId="{94F34555-BA68-CD4E-9F63-5FC3C41DFFD7}" type="pres">
      <dgm:prSet presAssocID="{8E055676-9F96-D346-B4E5-D676D3348F11}" presName="vertThree" presStyleCnt="0"/>
      <dgm:spPr/>
    </dgm:pt>
    <dgm:pt modelId="{EE16329B-CB2B-8D4B-8BA2-0BEE7E5F6CF0}" type="pres">
      <dgm:prSet presAssocID="{8E055676-9F96-D346-B4E5-D676D3348F11}" presName="txThree" presStyleLbl="node3" presStyleIdx="5" presStyleCnt="7" custScaleX="138498" custLinFactNeighborX="75434" custLinFactNeighborY="1942">
        <dgm:presLayoutVars>
          <dgm:chPref val="3"/>
        </dgm:presLayoutVars>
      </dgm:prSet>
      <dgm:spPr/>
    </dgm:pt>
    <dgm:pt modelId="{52795C39-B8C7-8D47-8D81-63CC53D87C9B}" type="pres">
      <dgm:prSet presAssocID="{8E055676-9F96-D346-B4E5-D676D3348F11}" presName="horzThree" presStyleCnt="0"/>
      <dgm:spPr/>
    </dgm:pt>
    <dgm:pt modelId="{97287E10-7702-9A4B-A759-FAF6A167393D}" type="pres">
      <dgm:prSet presAssocID="{6E16E5CE-0388-7942-BF49-8EB077225013}" presName="sibSpaceThree" presStyleCnt="0"/>
      <dgm:spPr/>
    </dgm:pt>
    <dgm:pt modelId="{156B390E-31B8-2848-934D-816AB382B9A0}" type="pres">
      <dgm:prSet presAssocID="{A4FD5B90-571C-814C-915F-79052A55F379}" presName="vertThree" presStyleCnt="0"/>
      <dgm:spPr/>
    </dgm:pt>
    <dgm:pt modelId="{F67092B2-37AF-324C-90DE-98CF3AA591B8}" type="pres">
      <dgm:prSet presAssocID="{A4FD5B90-571C-814C-915F-79052A55F379}" presName="txThree" presStyleLbl="node3" presStyleIdx="6" presStyleCnt="7" custScaleX="130123" custLinFactNeighborX="81351" custLinFactNeighborY="971">
        <dgm:presLayoutVars>
          <dgm:chPref val="3"/>
        </dgm:presLayoutVars>
      </dgm:prSet>
      <dgm:spPr/>
    </dgm:pt>
    <dgm:pt modelId="{DD605E2C-79AA-464F-B987-E85A64075930}" type="pres">
      <dgm:prSet presAssocID="{A4FD5B90-571C-814C-915F-79052A55F379}" presName="horzThree" presStyleCnt="0"/>
      <dgm:spPr/>
    </dgm:pt>
    <dgm:pt modelId="{3199D44D-24F1-484B-9E52-679C509559D5}" type="pres">
      <dgm:prSet presAssocID="{EF7E6265-1373-D64D-B414-1C5E2515784A}" presName="sibSpaceTwo" presStyleCnt="0"/>
      <dgm:spPr/>
    </dgm:pt>
    <dgm:pt modelId="{BADA84BE-B7E6-BC4A-987C-569AFD1F64DE}" type="pres">
      <dgm:prSet presAssocID="{F54BBAFD-956C-0346-BB7C-DC6A2DD7C336}" presName="vertTwo" presStyleCnt="0"/>
      <dgm:spPr/>
    </dgm:pt>
    <dgm:pt modelId="{2984A0C6-8A65-6C40-A321-D38F77A1FC02}" type="pres">
      <dgm:prSet presAssocID="{F54BBAFD-956C-0346-BB7C-DC6A2DD7C336}" presName="txTwo" presStyleLbl="node2" presStyleIdx="1" presStyleCnt="2" custScaleX="128828" custScaleY="113205">
        <dgm:presLayoutVars>
          <dgm:chPref val="3"/>
        </dgm:presLayoutVars>
      </dgm:prSet>
      <dgm:spPr/>
    </dgm:pt>
    <dgm:pt modelId="{4282ADBF-CF43-5947-AB61-CF16FAC497ED}" type="pres">
      <dgm:prSet presAssocID="{F54BBAFD-956C-0346-BB7C-DC6A2DD7C336}" presName="horzTwo" presStyleCnt="0"/>
      <dgm:spPr/>
    </dgm:pt>
  </dgm:ptLst>
  <dgm:cxnLst>
    <dgm:cxn modelId="{CF590107-E0A1-0040-BB73-94960C12109B}" type="presOf" srcId="{D07F0608-DD2E-594F-B8D0-6BC3A401E27F}" destId="{860A51C1-23C6-E04D-8A8C-8B4B5F166EB1}" srcOrd="0" destOrd="0" presId="urn:microsoft.com/office/officeart/2005/8/layout/hierarchy4"/>
    <dgm:cxn modelId="{52394E08-EA37-994F-AACF-FC9CD7E4926E}" type="presOf" srcId="{452CFC8C-EEA4-3C4B-9AFD-B9708E92E8CE}" destId="{1624D115-9820-0045-8D1D-3E824B341C3C}" srcOrd="0" destOrd="0" presId="urn:microsoft.com/office/officeart/2005/8/layout/hierarchy4"/>
    <dgm:cxn modelId="{0108500E-4D17-664D-BBBA-809F5AF53BD0}" srcId="{0A5B2C12-1F4B-7D4A-9943-EDE4CF647B67}" destId="{F54BBAFD-956C-0346-BB7C-DC6A2DD7C336}" srcOrd="1" destOrd="0" parTransId="{E1E3365E-B62C-A84F-9D6B-52FA1CBCADDD}" sibTransId="{BF426CAA-0177-D04E-B947-3AC9A8C4E03E}"/>
    <dgm:cxn modelId="{A4386E1F-0507-AC4F-983E-5FA51423A0ED}" srcId="{0A5B2C12-1F4B-7D4A-9943-EDE4CF647B67}" destId="{D07F0608-DD2E-594F-B8D0-6BC3A401E27F}" srcOrd="0" destOrd="0" parTransId="{9BF138EB-B6B6-5145-A200-0D9538CCE167}" sibTransId="{EF7E6265-1373-D64D-B414-1C5E2515784A}"/>
    <dgm:cxn modelId="{58E4C02F-F113-6D43-8EA5-748DE6E1D80F}" type="presOf" srcId="{A4FD5B90-571C-814C-915F-79052A55F379}" destId="{F67092B2-37AF-324C-90DE-98CF3AA591B8}" srcOrd="0" destOrd="0" presId="urn:microsoft.com/office/officeart/2005/8/layout/hierarchy4"/>
    <dgm:cxn modelId="{241AA13D-618B-5E42-9D70-2ADD231EBEB7}" type="presOf" srcId="{0A5B2C12-1F4B-7D4A-9943-EDE4CF647B67}" destId="{D178A8BA-F1C8-C94A-AF45-1D6904CF3259}" srcOrd="0" destOrd="0" presId="urn:microsoft.com/office/officeart/2005/8/layout/hierarchy4"/>
    <dgm:cxn modelId="{07D33D3E-C281-8548-930C-156E42537C23}" type="presOf" srcId="{16C2C90D-BC69-AE47-AE26-46C4254CDDC0}" destId="{8E292E4B-7913-E244-BA17-18CD284A95E7}" srcOrd="0" destOrd="0" presId="urn:microsoft.com/office/officeart/2005/8/layout/hierarchy4"/>
    <dgm:cxn modelId="{1A96F447-9BAE-F048-ADB4-EB72C870C542}" type="presOf" srcId="{F54BBAFD-956C-0346-BB7C-DC6A2DD7C336}" destId="{2984A0C6-8A65-6C40-A321-D38F77A1FC02}" srcOrd="0" destOrd="0" presId="urn:microsoft.com/office/officeart/2005/8/layout/hierarchy4"/>
    <dgm:cxn modelId="{D12DB65E-F405-9043-ABAE-92281C51C6A9}" type="presOf" srcId="{8E055676-9F96-D346-B4E5-D676D3348F11}" destId="{EE16329B-CB2B-8D4B-8BA2-0BEE7E5F6CF0}" srcOrd="0" destOrd="0" presId="urn:microsoft.com/office/officeart/2005/8/layout/hierarchy4"/>
    <dgm:cxn modelId="{6451C278-E4BD-E94F-9F48-F59711A25A45}" type="presOf" srcId="{11B53547-18E4-444C-A4B4-476F504431C7}" destId="{368159B7-73CB-704A-AF85-D93949AA3C51}" srcOrd="0" destOrd="0" presId="urn:microsoft.com/office/officeart/2005/8/layout/hierarchy4"/>
    <dgm:cxn modelId="{64B612A0-E1C6-FF4E-9A75-379D604F79E6}" srcId="{D07F0608-DD2E-594F-B8D0-6BC3A401E27F}" destId="{E62215E2-CB99-434B-A993-D262A657FA93}" srcOrd="1" destOrd="0" parTransId="{2D35DB48-854A-FE48-B8BA-63DCEB1CE0B9}" sibTransId="{C127B2B3-DF77-3F44-A7F9-365D8695DA18}"/>
    <dgm:cxn modelId="{4085C0A3-1B72-FD41-9C72-58422BEC6383}" srcId="{D07F0608-DD2E-594F-B8D0-6BC3A401E27F}" destId="{A4FD5B90-571C-814C-915F-79052A55F379}" srcOrd="6" destOrd="0" parTransId="{7CA42555-E761-0144-B8A1-71BF6B276397}" sibTransId="{C83C9C28-F855-2B41-B139-7530FB3282C8}"/>
    <dgm:cxn modelId="{1FFE73AC-F6D1-F148-A99F-6520D505522C}" srcId="{D07F0608-DD2E-594F-B8D0-6BC3A401E27F}" destId="{27B3EA57-E20C-7541-A41B-8C2EB222188D}" srcOrd="2" destOrd="0" parTransId="{7105B801-CEA0-DF4B-BB02-250715C2D774}" sibTransId="{F0FDA9A8-39BF-EA42-A4D2-D4FF770E1153}"/>
    <dgm:cxn modelId="{D639B5BA-7433-D24D-94F4-33FDFC9EC59B}" srcId="{16C2C90D-BC69-AE47-AE26-46C4254CDDC0}" destId="{0A5B2C12-1F4B-7D4A-9943-EDE4CF647B67}" srcOrd="0" destOrd="0" parTransId="{5DA8619C-9E1C-8D47-9AD2-C5DE2A1029A0}" sibTransId="{114E717F-7F3A-B244-AF53-898800DC3418}"/>
    <dgm:cxn modelId="{24ED0AC2-AFFF-1B43-A56C-C773B4F80133}" srcId="{D07F0608-DD2E-594F-B8D0-6BC3A401E27F}" destId="{8E055676-9F96-D346-B4E5-D676D3348F11}" srcOrd="5" destOrd="0" parTransId="{043BE592-21B7-D840-ABDB-D12D69149CE3}" sibTransId="{6E16E5CE-0388-7942-BF49-8EB077225013}"/>
    <dgm:cxn modelId="{0103CCCD-9728-9447-AAB4-662936497727}" type="presOf" srcId="{E62215E2-CB99-434B-A993-D262A657FA93}" destId="{D9A299CD-CEB8-B64D-BA90-7366D327ADDE}" srcOrd="0" destOrd="0" presId="urn:microsoft.com/office/officeart/2005/8/layout/hierarchy4"/>
    <dgm:cxn modelId="{D9878DD1-A30D-BC46-B470-9ECF5C04EBE2}" type="presOf" srcId="{EF18AD57-DBF2-8C46-93DD-48D1E2351AC6}" destId="{225FEFE2-DB0E-4345-AAE4-21F0975E8B36}" srcOrd="0" destOrd="0" presId="urn:microsoft.com/office/officeart/2005/8/layout/hierarchy4"/>
    <dgm:cxn modelId="{C2E8E6EF-8A66-9547-8E38-D5784AE5DC69}" type="presOf" srcId="{27B3EA57-E20C-7541-A41B-8C2EB222188D}" destId="{5C8AC830-0E4D-F74B-A668-1E27AA6AD32C}" srcOrd="0" destOrd="0" presId="urn:microsoft.com/office/officeart/2005/8/layout/hierarchy4"/>
    <dgm:cxn modelId="{18398DF2-EB62-A040-95F0-5050D944EB28}" srcId="{D07F0608-DD2E-594F-B8D0-6BC3A401E27F}" destId="{452CFC8C-EEA4-3C4B-9AFD-B9708E92E8CE}" srcOrd="3" destOrd="0" parTransId="{78A2A5ED-2A9F-5349-94D6-55F130DCE68A}" sibTransId="{DCD96EDE-A2F1-3344-92EB-4F0A929E40EA}"/>
    <dgm:cxn modelId="{FC8391F6-30B9-4443-9FB0-750E25453B97}" srcId="{D07F0608-DD2E-594F-B8D0-6BC3A401E27F}" destId="{11B53547-18E4-444C-A4B4-476F504431C7}" srcOrd="4" destOrd="0" parTransId="{3DFB064D-E392-A84C-B4C3-4D9B8C6C4F0F}" sibTransId="{6629805D-370C-7342-B277-29B14E9E3C94}"/>
    <dgm:cxn modelId="{60C2E5FF-99DE-7C4C-8D27-3908805D2151}" srcId="{D07F0608-DD2E-594F-B8D0-6BC3A401E27F}" destId="{EF18AD57-DBF2-8C46-93DD-48D1E2351AC6}" srcOrd="0" destOrd="0" parTransId="{24E516B8-218F-C047-BC68-B031F0C05CCB}" sibTransId="{A11A4510-4CBB-6342-8A95-E8E2270E0C6A}"/>
    <dgm:cxn modelId="{B7030585-A594-EB48-92CE-172E9ADBC730}" type="presParOf" srcId="{8E292E4B-7913-E244-BA17-18CD284A95E7}" destId="{3013D5AE-CD8D-C04C-81A2-AA57C77E2172}" srcOrd="0" destOrd="0" presId="urn:microsoft.com/office/officeart/2005/8/layout/hierarchy4"/>
    <dgm:cxn modelId="{B63164E6-87CB-E44B-8774-570AA7879F9D}" type="presParOf" srcId="{3013D5AE-CD8D-C04C-81A2-AA57C77E2172}" destId="{D178A8BA-F1C8-C94A-AF45-1D6904CF3259}" srcOrd="0" destOrd="0" presId="urn:microsoft.com/office/officeart/2005/8/layout/hierarchy4"/>
    <dgm:cxn modelId="{CA9EC9C9-9DF9-3946-8CD0-4AF7028C7E34}" type="presParOf" srcId="{3013D5AE-CD8D-C04C-81A2-AA57C77E2172}" destId="{F6AD00A8-792D-0E4B-BAFE-01F72FA76CDC}" srcOrd="1" destOrd="0" presId="urn:microsoft.com/office/officeart/2005/8/layout/hierarchy4"/>
    <dgm:cxn modelId="{F38A6C38-6861-2F4B-BEC4-2ECF42985786}" type="presParOf" srcId="{3013D5AE-CD8D-C04C-81A2-AA57C77E2172}" destId="{16041908-5EA0-0648-BE65-68E84B0C37CF}" srcOrd="2" destOrd="0" presId="urn:microsoft.com/office/officeart/2005/8/layout/hierarchy4"/>
    <dgm:cxn modelId="{0796EE04-946B-0B45-9535-47632E2DC2ED}" type="presParOf" srcId="{16041908-5EA0-0648-BE65-68E84B0C37CF}" destId="{318A3851-C3A0-054C-AF8D-FD606DB504B4}" srcOrd="0" destOrd="0" presId="urn:microsoft.com/office/officeart/2005/8/layout/hierarchy4"/>
    <dgm:cxn modelId="{90F858A2-63CE-4946-AEF8-13F2F7AF991E}" type="presParOf" srcId="{318A3851-C3A0-054C-AF8D-FD606DB504B4}" destId="{860A51C1-23C6-E04D-8A8C-8B4B5F166EB1}" srcOrd="0" destOrd="0" presId="urn:microsoft.com/office/officeart/2005/8/layout/hierarchy4"/>
    <dgm:cxn modelId="{B1A959DA-7BA1-C54F-A625-D32727E043CC}" type="presParOf" srcId="{318A3851-C3A0-054C-AF8D-FD606DB504B4}" destId="{AB7DA088-07AE-C74D-9E07-8032B9C6C0F7}" srcOrd="1" destOrd="0" presId="urn:microsoft.com/office/officeart/2005/8/layout/hierarchy4"/>
    <dgm:cxn modelId="{B8833108-E8E3-9445-8460-A26811612514}" type="presParOf" srcId="{318A3851-C3A0-054C-AF8D-FD606DB504B4}" destId="{EB305C59-6464-234D-8A42-AB4099AC8D32}" srcOrd="2" destOrd="0" presId="urn:microsoft.com/office/officeart/2005/8/layout/hierarchy4"/>
    <dgm:cxn modelId="{0D0F96E4-57E2-134A-A647-A159B7095459}" type="presParOf" srcId="{EB305C59-6464-234D-8A42-AB4099AC8D32}" destId="{616AC515-E09E-3646-9CD9-1B387B67A3D2}" srcOrd="0" destOrd="0" presId="urn:microsoft.com/office/officeart/2005/8/layout/hierarchy4"/>
    <dgm:cxn modelId="{8805BC04-1533-0E43-987C-B86AAE3B81BB}" type="presParOf" srcId="{616AC515-E09E-3646-9CD9-1B387B67A3D2}" destId="{225FEFE2-DB0E-4345-AAE4-21F0975E8B36}" srcOrd="0" destOrd="0" presId="urn:microsoft.com/office/officeart/2005/8/layout/hierarchy4"/>
    <dgm:cxn modelId="{42C8A996-65C6-8548-B453-A43AC132657C}" type="presParOf" srcId="{616AC515-E09E-3646-9CD9-1B387B67A3D2}" destId="{73EC3E38-F643-C141-9BAB-E9E1F37BE48C}" srcOrd="1" destOrd="0" presId="urn:microsoft.com/office/officeart/2005/8/layout/hierarchy4"/>
    <dgm:cxn modelId="{35CEA2E3-72B7-AF47-BBFD-D2CB952BE9AF}" type="presParOf" srcId="{EB305C59-6464-234D-8A42-AB4099AC8D32}" destId="{4255F19B-2D0B-6449-AB34-CC0EB841C5C4}" srcOrd="1" destOrd="0" presId="urn:microsoft.com/office/officeart/2005/8/layout/hierarchy4"/>
    <dgm:cxn modelId="{8C0E75DD-93F9-7B4D-B542-CA148ED091C9}" type="presParOf" srcId="{EB305C59-6464-234D-8A42-AB4099AC8D32}" destId="{440B2798-1A22-9940-8C17-A84742285E9E}" srcOrd="2" destOrd="0" presId="urn:microsoft.com/office/officeart/2005/8/layout/hierarchy4"/>
    <dgm:cxn modelId="{0D44D3C2-A706-1A41-9CE5-3020DF793ECE}" type="presParOf" srcId="{440B2798-1A22-9940-8C17-A84742285E9E}" destId="{D9A299CD-CEB8-B64D-BA90-7366D327ADDE}" srcOrd="0" destOrd="0" presId="urn:microsoft.com/office/officeart/2005/8/layout/hierarchy4"/>
    <dgm:cxn modelId="{E86F66B4-D946-A84D-9C39-3666C619D038}" type="presParOf" srcId="{440B2798-1A22-9940-8C17-A84742285E9E}" destId="{2A096D54-639C-1943-8F31-501C5FCCC83B}" srcOrd="1" destOrd="0" presId="urn:microsoft.com/office/officeart/2005/8/layout/hierarchy4"/>
    <dgm:cxn modelId="{69A2B6DB-4481-4245-B880-47DA38E8BA7C}" type="presParOf" srcId="{EB305C59-6464-234D-8A42-AB4099AC8D32}" destId="{DB3B7499-C447-9A46-A33D-8CE3C9B202DE}" srcOrd="3" destOrd="0" presId="urn:microsoft.com/office/officeart/2005/8/layout/hierarchy4"/>
    <dgm:cxn modelId="{F5BF62B9-EC04-794B-AF9B-BF5BCA00D35F}" type="presParOf" srcId="{EB305C59-6464-234D-8A42-AB4099AC8D32}" destId="{49D853A2-3CEE-4040-8E70-5087A78B304A}" srcOrd="4" destOrd="0" presId="urn:microsoft.com/office/officeart/2005/8/layout/hierarchy4"/>
    <dgm:cxn modelId="{B63DE094-444E-6845-B6F8-EAA16FE01487}" type="presParOf" srcId="{49D853A2-3CEE-4040-8E70-5087A78B304A}" destId="{5C8AC830-0E4D-F74B-A668-1E27AA6AD32C}" srcOrd="0" destOrd="0" presId="urn:microsoft.com/office/officeart/2005/8/layout/hierarchy4"/>
    <dgm:cxn modelId="{FA249D29-88F4-C44C-9008-8630FD85A48E}" type="presParOf" srcId="{49D853A2-3CEE-4040-8E70-5087A78B304A}" destId="{92DA5C5F-970E-794E-A6B8-054180AEC58D}" srcOrd="1" destOrd="0" presId="urn:microsoft.com/office/officeart/2005/8/layout/hierarchy4"/>
    <dgm:cxn modelId="{32FAE4F4-B619-9442-8158-08D853AA592E}" type="presParOf" srcId="{EB305C59-6464-234D-8A42-AB4099AC8D32}" destId="{9D4FD2CF-BAD2-BD48-811F-9FCD980F63FF}" srcOrd="5" destOrd="0" presId="urn:microsoft.com/office/officeart/2005/8/layout/hierarchy4"/>
    <dgm:cxn modelId="{B6F3FC4A-8C23-D243-8BFD-2E409610B4A3}" type="presParOf" srcId="{EB305C59-6464-234D-8A42-AB4099AC8D32}" destId="{3218A39A-E4EC-A34D-8D59-678417BF1A4F}" srcOrd="6" destOrd="0" presId="urn:microsoft.com/office/officeart/2005/8/layout/hierarchy4"/>
    <dgm:cxn modelId="{6206161E-6204-D045-B800-B99DB08969D7}" type="presParOf" srcId="{3218A39A-E4EC-A34D-8D59-678417BF1A4F}" destId="{1624D115-9820-0045-8D1D-3E824B341C3C}" srcOrd="0" destOrd="0" presId="urn:microsoft.com/office/officeart/2005/8/layout/hierarchy4"/>
    <dgm:cxn modelId="{F5F16687-AA26-C143-94C2-B17FC82DAF0B}" type="presParOf" srcId="{3218A39A-E4EC-A34D-8D59-678417BF1A4F}" destId="{B6316B04-A344-DC44-9B07-1F0C6BC4CA98}" srcOrd="1" destOrd="0" presId="urn:microsoft.com/office/officeart/2005/8/layout/hierarchy4"/>
    <dgm:cxn modelId="{E484EEA9-C3C7-9345-A059-A499E0E7045E}" type="presParOf" srcId="{EB305C59-6464-234D-8A42-AB4099AC8D32}" destId="{4C911FCA-42E0-454C-AFCB-87EDCE1B25BE}" srcOrd="7" destOrd="0" presId="urn:microsoft.com/office/officeart/2005/8/layout/hierarchy4"/>
    <dgm:cxn modelId="{9636D006-BC0A-3B41-9AEF-DD5073652C94}" type="presParOf" srcId="{EB305C59-6464-234D-8A42-AB4099AC8D32}" destId="{C661FF4F-89ED-814E-A7CF-456A14306EBA}" srcOrd="8" destOrd="0" presId="urn:microsoft.com/office/officeart/2005/8/layout/hierarchy4"/>
    <dgm:cxn modelId="{02DF4ADD-2609-A84E-9239-1691F788522B}" type="presParOf" srcId="{C661FF4F-89ED-814E-A7CF-456A14306EBA}" destId="{368159B7-73CB-704A-AF85-D93949AA3C51}" srcOrd="0" destOrd="0" presId="urn:microsoft.com/office/officeart/2005/8/layout/hierarchy4"/>
    <dgm:cxn modelId="{54D2A52D-715E-B244-AA32-77AF71505046}" type="presParOf" srcId="{C661FF4F-89ED-814E-A7CF-456A14306EBA}" destId="{EE9D9F5E-A726-A04B-A763-642B71663FE9}" srcOrd="1" destOrd="0" presId="urn:microsoft.com/office/officeart/2005/8/layout/hierarchy4"/>
    <dgm:cxn modelId="{BE7F2FE9-9859-9147-99DD-246727D65904}" type="presParOf" srcId="{EB305C59-6464-234D-8A42-AB4099AC8D32}" destId="{A895E93E-FBA0-2A44-B185-F3546C90D147}" srcOrd="9" destOrd="0" presId="urn:microsoft.com/office/officeart/2005/8/layout/hierarchy4"/>
    <dgm:cxn modelId="{582B2B7E-FD1D-1446-B85E-98CBD7657832}" type="presParOf" srcId="{EB305C59-6464-234D-8A42-AB4099AC8D32}" destId="{94F34555-BA68-CD4E-9F63-5FC3C41DFFD7}" srcOrd="10" destOrd="0" presId="urn:microsoft.com/office/officeart/2005/8/layout/hierarchy4"/>
    <dgm:cxn modelId="{D387BF05-153B-CD44-A12E-E1A9005D8CC1}" type="presParOf" srcId="{94F34555-BA68-CD4E-9F63-5FC3C41DFFD7}" destId="{EE16329B-CB2B-8D4B-8BA2-0BEE7E5F6CF0}" srcOrd="0" destOrd="0" presId="urn:microsoft.com/office/officeart/2005/8/layout/hierarchy4"/>
    <dgm:cxn modelId="{63F12242-5ECB-FC41-B9F4-3494CBE3A6FD}" type="presParOf" srcId="{94F34555-BA68-CD4E-9F63-5FC3C41DFFD7}" destId="{52795C39-B8C7-8D47-8D81-63CC53D87C9B}" srcOrd="1" destOrd="0" presId="urn:microsoft.com/office/officeart/2005/8/layout/hierarchy4"/>
    <dgm:cxn modelId="{E68EDC63-886E-0242-911E-D1A221921371}" type="presParOf" srcId="{EB305C59-6464-234D-8A42-AB4099AC8D32}" destId="{97287E10-7702-9A4B-A759-FAF6A167393D}" srcOrd="11" destOrd="0" presId="urn:microsoft.com/office/officeart/2005/8/layout/hierarchy4"/>
    <dgm:cxn modelId="{447F4F2A-AD3E-2C49-A55F-3ACB63620605}" type="presParOf" srcId="{EB305C59-6464-234D-8A42-AB4099AC8D32}" destId="{156B390E-31B8-2848-934D-816AB382B9A0}" srcOrd="12" destOrd="0" presId="urn:microsoft.com/office/officeart/2005/8/layout/hierarchy4"/>
    <dgm:cxn modelId="{25366CF9-0728-4C4B-94E5-06C37FE9F545}" type="presParOf" srcId="{156B390E-31B8-2848-934D-816AB382B9A0}" destId="{F67092B2-37AF-324C-90DE-98CF3AA591B8}" srcOrd="0" destOrd="0" presId="urn:microsoft.com/office/officeart/2005/8/layout/hierarchy4"/>
    <dgm:cxn modelId="{F260B202-8207-8B49-B3E6-4FA808E2A840}" type="presParOf" srcId="{156B390E-31B8-2848-934D-816AB382B9A0}" destId="{DD605E2C-79AA-464F-B987-E85A64075930}" srcOrd="1" destOrd="0" presId="urn:microsoft.com/office/officeart/2005/8/layout/hierarchy4"/>
    <dgm:cxn modelId="{72A9D40F-B5CD-DC48-AB97-729CD84BE81A}" type="presParOf" srcId="{16041908-5EA0-0648-BE65-68E84B0C37CF}" destId="{3199D44D-24F1-484B-9E52-679C509559D5}" srcOrd="1" destOrd="0" presId="urn:microsoft.com/office/officeart/2005/8/layout/hierarchy4"/>
    <dgm:cxn modelId="{D25FC287-3E5B-5840-BE38-9E657C89D56E}" type="presParOf" srcId="{16041908-5EA0-0648-BE65-68E84B0C37CF}" destId="{BADA84BE-B7E6-BC4A-987C-569AFD1F64DE}" srcOrd="2" destOrd="0" presId="urn:microsoft.com/office/officeart/2005/8/layout/hierarchy4"/>
    <dgm:cxn modelId="{4075A9C0-C41C-A54C-966C-AE1CC2986B3B}" type="presParOf" srcId="{BADA84BE-B7E6-BC4A-987C-569AFD1F64DE}" destId="{2984A0C6-8A65-6C40-A321-D38F77A1FC02}" srcOrd="0" destOrd="0" presId="urn:microsoft.com/office/officeart/2005/8/layout/hierarchy4"/>
    <dgm:cxn modelId="{8175D04D-D795-FB45-8AB9-E574F74B61F7}" type="presParOf" srcId="{BADA84BE-B7E6-BC4A-987C-569AFD1F64DE}" destId="{4282ADBF-CF43-5947-AB61-CF16FAC497ED}" srcOrd="1" destOrd="0" presId="urn:microsoft.com/office/officeart/2005/8/layout/hierarchy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78A8BA-F1C8-C94A-AF45-1D6904CF3259}">
      <dsp:nvSpPr>
        <dsp:cNvPr id="0" name=""/>
        <dsp:cNvSpPr/>
      </dsp:nvSpPr>
      <dsp:spPr>
        <a:xfrm>
          <a:off x="2718" y="228"/>
          <a:ext cx="6006257" cy="84612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u="sng" kern="1200"/>
            <a:t>EdD Definition</a:t>
          </a:r>
        </a:p>
        <a:p>
          <a:pPr marL="0" lvl="0" indent="0" algn="ctr" defTabSz="533400">
            <a:lnSpc>
              <a:spcPct val="90000"/>
            </a:lnSpc>
            <a:spcBef>
              <a:spcPct val="0"/>
            </a:spcBef>
            <a:spcAft>
              <a:spcPct val="35000"/>
            </a:spcAft>
            <a:buNone/>
          </a:pPr>
          <a:r>
            <a:rPr lang="en-US" sz="1200" b="0" i="0" kern="1200"/>
            <a:t>“The professional doctorate in education prepares educators for the application of appropriate and specific practices, the generation of new knowledge, and for the stewardship of the profession.”</a:t>
          </a:r>
          <a:endParaRPr lang="en-US" sz="1200" kern="1200"/>
        </a:p>
      </dsp:txBody>
      <dsp:txXfrm>
        <a:off x="27500" y="25010"/>
        <a:ext cx="5956693" cy="796562"/>
      </dsp:txXfrm>
    </dsp:sp>
    <dsp:sp modelId="{860A51C1-23C6-E04D-8A8C-8B4B5F166EB1}">
      <dsp:nvSpPr>
        <dsp:cNvPr id="0" name=""/>
        <dsp:cNvSpPr/>
      </dsp:nvSpPr>
      <dsp:spPr>
        <a:xfrm>
          <a:off x="8580" y="958298"/>
          <a:ext cx="5297006" cy="159153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1" i="1" kern="1200"/>
            <a:t>Scholarly Practitioner: </a:t>
          </a:r>
          <a:r>
            <a:rPr lang="en-US" sz="500" kern="1200"/>
            <a:t>Scholarly Practitioners blend practical wisdom with professional skills and knowledge to name, frame, and solve problems of practice. They use practical research and applied theories as tools for change because they understand the importance of equity and social justice. They disseminate their work in multiple ways, and they have an obligation to resolve problems of practice by collaborating with key stakeholders, including the university, the educational institution, the community, and individuals. </a:t>
          </a:r>
        </a:p>
        <a:p>
          <a:pPr marL="0" lvl="0" indent="0" algn="ctr" defTabSz="222250">
            <a:lnSpc>
              <a:spcPct val="90000"/>
            </a:lnSpc>
            <a:spcBef>
              <a:spcPct val="0"/>
            </a:spcBef>
            <a:spcAft>
              <a:spcPct val="35000"/>
            </a:spcAft>
            <a:buNone/>
          </a:pPr>
          <a:r>
            <a:rPr lang="en-US" sz="500" b="1" i="1" kern="1200"/>
            <a:t>Signature Pedagogy:</a:t>
          </a:r>
          <a:r>
            <a:rPr lang="en-US" sz="500" kern="1200"/>
            <a:t> Signature Pedagogy is the pervasive set of practices used to prepare scholarly practitioners for all aspects of their professional work: “to think, to perform, and to act with integrity” (Shulman, 2005, p.52). Signature pedagogy includes three dimensions, as articulated by Lee Shulman (2005):</a:t>
          </a:r>
        </a:p>
        <a:p>
          <a:pPr marL="0" lvl="0" indent="0" algn="ctr" defTabSz="222250">
            <a:lnSpc>
              <a:spcPct val="90000"/>
            </a:lnSpc>
            <a:spcBef>
              <a:spcPct val="0"/>
            </a:spcBef>
            <a:spcAft>
              <a:spcPct val="35000"/>
            </a:spcAft>
            <a:buNone/>
          </a:pPr>
          <a:r>
            <a:rPr lang="en-US" sz="500" kern="1200"/>
            <a:t>Teaching is deliberate, pervasive and persistent. It challenges assumptions, engages in action, and requires ongoing assessment and accountability.</a:t>
          </a:r>
        </a:p>
        <a:p>
          <a:pPr marL="0" lvl="0" indent="0" algn="ctr" defTabSz="222250">
            <a:lnSpc>
              <a:spcPct val="90000"/>
            </a:lnSpc>
            <a:spcBef>
              <a:spcPct val="0"/>
            </a:spcBef>
            <a:spcAft>
              <a:spcPct val="35000"/>
            </a:spcAft>
            <a:buNone/>
          </a:pPr>
          <a:r>
            <a:rPr lang="en-US" sz="500" kern="1200"/>
            <a:t>Teaching and learning are grounded in theory, research, and in problems of practice. It leads to habits of mind, hand, and heart that can and will be applied to authentic professional settings.</a:t>
          </a:r>
        </a:p>
        <a:p>
          <a:pPr marL="0" lvl="0" indent="0" algn="ctr" defTabSz="222250">
            <a:lnSpc>
              <a:spcPct val="90000"/>
            </a:lnSpc>
            <a:spcBef>
              <a:spcPct val="0"/>
            </a:spcBef>
            <a:spcAft>
              <a:spcPct val="35000"/>
            </a:spcAft>
            <a:buNone/>
          </a:pPr>
          <a:r>
            <a:rPr lang="en-US" sz="500" kern="1200"/>
            <a:t>Teaching helps students develop a critical and professional stance with a moral and ethical imperative for equity and social justice. </a:t>
          </a:r>
        </a:p>
        <a:p>
          <a:pPr marL="0" lvl="0" indent="0" algn="ctr" defTabSz="222250">
            <a:lnSpc>
              <a:spcPct val="90000"/>
            </a:lnSpc>
            <a:spcBef>
              <a:spcPct val="0"/>
            </a:spcBef>
            <a:spcAft>
              <a:spcPct val="35000"/>
            </a:spcAft>
            <a:buNone/>
          </a:pPr>
          <a:r>
            <a:rPr lang="en-US" sz="500" b="1" i="1" kern="1200"/>
            <a:t>Inquiry as Practice: </a:t>
          </a:r>
          <a:r>
            <a:rPr lang="en-US" sz="500" kern="1200"/>
            <a:t>Inquiry as Practice is the process of posing significant questions that focus on complex problems of practice. By using various research, theories, and professional wisdom, scholarly practitioners design innovative solutions to address the problems of practice. At the center of Inquiry of Practice is the ability to use data to understand the effects of innovation. As such, Inquiry of Practice requires the ability to gather, organize, judge, aggregate, and analyze situations, literature, and data with a critical lens.</a:t>
          </a:r>
        </a:p>
        <a:p>
          <a:pPr marL="0" lvl="0" indent="0" algn="ctr" defTabSz="222250">
            <a:lnSpc>
              <a:spcPct val="90000"/>
            </a:lnSpc>
            <a:spcBef>
              <a:spcPct val="0"/>
            </a:spcBef>
            <a:spcAft>
              <a:spcPct val="35000"/>
            </a:spcAft>
            <a:buNone/>
          </a:pPr>
          <a:r>
            <a:rPr lang="en-US" sz="500" b="1" i="1" kern="1200"/>
            <a:t>Laboratories of Practice:</a:t>
          </a:r>
          <a:r>
            <a:rPr lang="en-US" sz="500" kern="1200"/>
            <a:t> Laboratories of Practice are settings where theory and practice inform and enrich each other. They address complex problems of practice where ideas—formed by the intersection of theory, inquiry, and practice—can be implemented, measured, and analyzed for the impact made.  Laboratories of Practice facilitate transformative and generative learning that is measured by the development of scholarly expertise and implementation of practice.</a:t>
          </a:r>
        </a:p>
        <a:p>
          <a:pPr marL="0" lvl="0" indent="0" algn="ctr" defTabSz="222250">
            <a:lnSpc>
              <a:spcPct val="90000"/>
            </a:lnSpc>
            <a:spcBef>
              <a:spcPct val="0"/>
            </a:spcBef>
            <a:spcAft>
              <a:spcPct val="35000"/>
            </a:spcAft>
            <a:buNone/>
          </a:pPr>
          <a:r>
            <a:rPr lang="en-US" sz="500" b="1" i="1" kern="1200"/>
            <a:t>Dissertation in Practice:</a:t>
          </a:r>
          <a:r>
            <a:rPr lang="en-US" sz="500" kern="1200"/>
            <a:t> The Dissertation in Practice is a scholarly endeavor that impacts a complex problem of practice.</a:t>
          </a:r>
        </a:p>
        <a:p>
          <a:pPr marL="0" lvl="0" indent="0" algn="ctr" defTabSz="222250">
            <a:lnSpc>
              <a:spcPct val="90000"/>
            </a:lnSpc>
            <a:spcBef>
              <a:spcPct val="0"/>
            </a:spcBef>
            <a:spcAft>
              <a:spcPct val="35000"/>
            </a:spcAft>
            <a:buNone/>
          </a:pPr>
          <a:r>
            <a:rPr lang="en-US" sz="500" b="1" i="1" kern="1200"/>
            <a:t>Problem of Practice: </a:t>
          </a:r>
          <a:r>
            <a:rPr lang="en-US" sz="500" kern="1200"/>
            <a:t>A Problem of Practice is as a persistent, contextualized, and specific issue embedded in the work of a professional practitioner, the addressing of which has the potential to result in improved understanding, experience, and outcomes.</a:t>
          </a:r>
        </a:p>
      </dsp:txBody>
      <dsp:txXfrm>
        <a:off x="55194" y="1004912"/>
        <a:ext cx="5203778" cy="1498304"/>
      </dsp:txXfrm>
    </dsp:sp>
    <dsp:sp modelId="{225FEFE2-DB0E-4345-AAE4-21F0975E8B36}">
      <dsp:nvSpPr>
        <dsp:cNvPr id="0" name=""/>
        <dsp:cNvSpPr/>
      </dsp:nvSpPr>
      <dsp:spPr>
        <a:xfrm>
          <a:off x="8580" y="2661776"/>
          <a:ext cx="1211312" cy="13261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u="sng" kern="1200"/>
            <a:t>Guiding Principles</a:t>
          </a:r>
        </a:p>
        <a:p>
          <a:pPr marL="0" lvl="0" indent="0" algn="ctr" defTabSz="400050">
            <a:lnSpc>
              <a:spcPct val="90000"/>
            </a:lnSpc>
            <a:spcBef>
              <a:spcPct val="0"/>
            </a:spcBef>
            <a:spcAft>
              <a:spcPct val="35000"/>
            </a:spcAft>
            <a:buNone/>
          </a:pPr>
          <a:r>
            <a:rPr lang="en-US" sz="900" b="1" kern="1200"/>
            <a:t>The Professional Doctorate in Education is: </a:t>
          </a:r>
        </a:p>
      </dsp:txBody>
      <dsp:txXfrm>
        <a:off x="44058" y="2697254"/>
        <a:ext cx="1140356" cy="1255177"/>
      </dsp:txXfrm>
    </dsp:sp>
    <dsp:sp modelId="{D9A299CD-CEB8-B64D-BA90-7366D327ADDE}">
      <dsp:nvSpPr>
        <dsp:cNvPr id="0" name=""/>
        <dsp:cNvSpPr/>
      </dsp:nvSpPr>
      <dsp:spPr>
        <a:xfrm>
          <a:off x="1511900" y="2661776"/>
          <a:ext cx="683268" cy="13261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US" sz="500" kern="1200"/>
            <a:t>Is framed around questions of equity, ethics, and social justice to bring about solutions to complex problems of practice.</a:t>
          </a:r>
        </a:p>
      </dsp:txBody>
      <dsp:txXfrm>
        <a:off x="1531912" y="2681788"/>
        <a:ext cx="643244" cy="1286109"/>
      </dsp:txXfrm>
    </dsp:sp>
    <dsp:sp modelId="{5C8AC830-0E4D-F74B-A668-1E27AA6AD32C}">
      <dsp:nvSpPr>
        <dsp:cNvPr id="0" name=""/>
        <dsp:cNvSpPr/>
      </dsp:nvSpPr>
      <dsp:spPr>
        <a:xfrm>
          <a:off x="2239070" y="2661776"/>
          <a:ext cx="617484" cy="13261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US" sz="500" kern="1200"/>
            <a:t>Prepares leaders who can construct and apply knowledge to make a positive difference in the lives of individuals, families, organizations, and communities.</a:t>
          </a:r>
        </a:p>
      </dsp:txBody>
      <dsp:txXfrm>
        <a:off x="2257155" y="2679861"/>
        <a:ext cx="581314" cy="1289963"/>
      </dsp:txXfrm>
    </dsp:sp>
    <dsp:sp modelId="{1624D115-9820-0045-8D1D-3E824B341C3C}">
      <dsp:nvSpPr>
        <dsp:cNvPr id="0" name=""/>
        <dsp:cNvSpPr/>
      </dsp:nvSpPr>
      <dsp:spPr>
        <a:xfrm>
          <a:off x="2907979" y="2662004"/>
          <a:ext cx="655805" cy="13261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US" sz="500" kern="1200"/>
            <a:t>Provides opportunities for candidates to develop and demonstrate collaboration and communication skills to work with diverse communities and to build partnerships.</a:t>
          </a:r>
        </a:p>
      </dsp:txBody>
      <dsp:txXfrm>
        <a:off x="2927187" y="2681212"/>
        <a:ext cx="617389" cy="1287717"/>
      </dsp:txXfrm>
    </dsp:sp>
    <dsp:sp modelId="{368159B7-73CB-704A-AF85-D93949AA3C51}">
      <dsp:nvSpPr>
        <dsp:cNvPr id="0" name=""/>
        <dsp:cNvSpPr/>
      </dsp:nvSpPr>
      <dsp:spPr>
        <a:xfrm>
          <a:off x="3607686" y="2662004"/>
          <a:ext cx="635651" cy="13261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US" sz="500" kern="1200"/>
            <a:t>Provides field-based opportunities to analyze problems of practice and use multiple frames to develop meaningful solutions.</a:t>
          </a:r>
        </a:p>
      </dsp:txBody>
      <dsp:txXfrm>
        <a:off x="3626304" y="2680622"/>
        <a:ext cx="598415" cy="1288897"/>
      </dsp:txXfrm>
    </dsp:sp>
    <dsp:sp modelId="{EE16329B-CB2B-8D4B-8BA2-0BEE7E5F6CF0}">
      <dsp:nvSpPr>
        <dsp:cNvPr id="0" name=""/>
        <dsp:cNvSpPr/>
      </dsp:nvSpPr>
      <dsp:spPr>
        <a:xfrm>
          <a:off x="4302274" y="2662004"/>
          <a:ext cx="703981" cy="13261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US" sz="500" kern="1200"/>
            <a:t>Is grounded in and develops a professional knowledge base that integrates both practical and research knowledge, that links theory with systemic and systematic inquiry.</a:t>
          </a:r>
        </a:p>
      </dsp:txBody>
      <dsp:txXfrm>
        <a:off x="4322893" y="2682623"/>
        <a:ext cx="662743" cy="1284895"/>
      </dsp:txXfrm>
    </dsp:sp>
    <dsp:sp modelId="{F67092B2-37AF-324C-90DE-98CF3AA591B8}">
      <dsp:nvSpPr>
        <dsp:cNvPr id="0" name=""/>
        <dsp:cNvSpPr/>
      </dsp:nvSpPr>
      <dsp:spPr>
        <a:xfrm>
          <a:off x="5057680" y="2662004"/>
          <a:ext cx="661411" cy="13261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US" sz="500" kern="1200"/>
            <a:t>Emphasizes the generation, transformation, and use of professional knowledge and practice.</a:t>
          </a:r>
        </a:p>
      </dsp:txBody>
      <dsp:txXfrm>
        <a:off x="5077052" y="2681376"/>
        <a:ext cx="622667" cy="1287389"/>
      </dsp:txXfrm>
    </dsp:sp>
    <dsp:sp modelId="{2984A0C6-8A65-6C40-A321-D38F77A1FC02}">
      <dsp:nvSpPr>
        <dsp:cNvPr id="0" name=""/>
        <dsp:cNvSpPr/>
      </dsp:nvSpPr>
      <dsp:spPr>
        <a:xfrm>
          <a:off x="5348283" y="958298"/>
          <a:ext cx="654829" cy="15012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u="sng" kern="1200"/>
            <a:t>Program Design Concepts</a:t>
          </a:r>
        </a:p>
      </dsp:txBody>
      <dsp:txXfrm>
        <a:off x="5367462" y="977477"/>
        <a:ext cx="616471" cy="14628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Words>
  <Characters>193</Characters>
  <Application>Microsoft Office Word</Application>
  <DocSecurity>0</DocSecurity>
  <Lines>1</Lines>
  <Paragraphs>1</Paragraphs>
  <ScaleCrop>false</ScaleCrop>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Perry</dc:creator>
  <cp:keywords/>
  <dc:description/>
  <cp:lastModifiedBy>Jill Perry</cp:lastModifiedBy>
  <cp:revision>2</cp:revision>
  <dcterms:created xsi:type="dcterms:W3CDTF">2018-02-15T14:26:00Z</dcterms:created>
  <dcterms:modified xsi:type="dcterms:W3CDTF">2018-02-15T14:36:00Z</dcterms:modified>
</cp:coreProperties>
</file>